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內文 A"/>
        <w:jc w:val="center"/>
        <w:rPr>
          <w:rFonts w:ascii="標楷體" w:cs="標楷體" w:hAnsi="標楷體" w:eastAsia="標楷體"/>
          <w:sz w:val="28"/>
          <w:szCs w:val="28"/>
        </w:rPr>
      </w:pPr>
      <w:r>
        <w:rPr>
          <w:rFonts w:eastAsia="標楷體" w:hint="eastAsia"/>
          <w:sz w:val="28"/>
          <w:szCs w:val="28"/>
          <w:rtl w:val="0"/>
          <w:lang w:val="zh-TW" w:eastAsia="zh-TW"/>
        </w:rPr>
        <w:t>明倫國中生涯規劃教育融入各領域教案</w:t>
      </w:r>
      <w:r>
        <w:rPr>
          <w:rFonts w:ascii="標楷體" w:cs="標楷體" w:hAnsi="標楷體" w:eastAsia="標楷體"/>
          <w:sz w:val="28"/>
          <w:szCs w:val="28"/>
          <w:lang w:val="zh-TW" w:eastAsia="zh-TW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4762</wp:posOffset>
                </wp:positionH>
                <wp:positionV relativeFrom="page">
                  <wp:posOffset>372427</wp:posOffset>
                </wp:positionV>
                <wp:extent cx="914400" cy="342900"/>
                <wp:effectExtent l="0" t="0" r="0" b="0"/>
                <wp:wrapNone/>
                <wp:docPr id="1073741825" name="officeArt object" descr="附件一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內文 A"/>
                              <w:jc w:val="center"/>
                            </w:pPr>
                            <w:r>
                              <w:rPr>
                                <w:rFonts w:eastAsia="標楷體" w:hint="eastAsia"/>
                                <w:sz w:val="32"/>
                                <w:szCs w:val="32"/>
                                <w:rtl w:val="0"/>
                                <w:lang w:val="zh-TW" w:eastAsia="zh-TW"/>
                              </w:rPr>
                              <w:t>附件一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0.4pt;margin-top:29.3pt;width:72.0pt;height:27.0pt;z-index:251659264;mso-position-horizontal:absolute;mso-position-horizontal-relative:margin;mso-position-vertical:absolute;mso-position-vertical-relative:pag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內文 A"/>
                        <w:jc w:val="center"/>
                      </w:pPr>
                      <w:r>
                        <w:rPr>
                          <w:rFonts w:eastAsia="標楷體" w:hint="eastAsia"/>
                          <w:sz w:val="32"/>
                          <w:szCs w:val="32"/>
                          <w:rtl w:val="0"/>
                          <w:lang w:val="zh-TW" w:eastAsia="zh-TW"/>
                        </w:rPr>
                        <w:t>附件一</w:t>
                      </w:r>
                    </w:p>
                  </w:txbxContent>
                </v:textbox>
                <w10:wrap type="none" side="bothSides" anchorx="margin" anchory="page"/>
              </v:shape>
            </w:pict>
          </mc:Fallback>
        </mc:AlternateContent>
      </w:r>
    </w:p>
    <w:p>
      <w:pPr>
        <w:pStyle w:val="內文 A"/>
        <w:rPr>
          <w:rFonts w:ascii="標楷體" w:cs="標楷體" w:hAnsi="標楷體" w:eastAsia="標楷體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老師，您好！感謝您協助輔導組設計教案，以下事項煩請您詳閱：</w:t>
      </w:r>
    </w:p>
    <w:p>
      <w:pPr>
        <w:pStyle w:val="內文 A"/>
        <w:numPr>
          <w:ilvl w:val="0"/>
          <w:numId w:val="2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請依據本學期的課本設計教案，對象可以是一或二或三年級，也可以自編教材</w:t>
      </w:r>
      <w:r>
        <w:rPr>
          <w:rFonts w:eastAsia="標楷體" w:hint="eastAsia"/>
          <w:outline w:val="0"/>
          <w:color w:val="222222"/>
          <w:kern w:val="0"/>
          <w:u w:color="222222"/>
          <w:rtl w:val="0"/>
          <w:lang w:val="zh-TW" w:eastAsia="zh-TW"/>
          <w14:textFill>
            <w14:solidFill>
              <w14:srgbClr w14:val="222222"/>
            </w14:solidFill>
          </w14:textFill>
        </w:rPr>
        <w:t>。</w:t>
      </w:r>
    </w:p>
    <w:p>
      <w:pPr>
        <w:pStyle w:val="內文 A"/>
        <w:numPr>
          <w:ilvl w:val="0"/>
          <w:numId w:val="2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outline w:val="0"/>
          <w:color w:val="222222"/>
          <w:kern w:val="0"/>
          <w:u w:color="222222"/>
          <w:rtl w:val="0"/>
          <w:lang w:val="zh-TW" w:eastAsia="zh-TW"/>
          <w14:textFill>
            <w14:solidFill>
              <w14:srgbClr w14:val="222222"/>
            </w14:solidFill>
          </w14:textFill>
        </w:rPr>
        <w:t>課程時間可自行決定，只有五至十分鐘也可以，只要融入【生涯規劃教育】即可。</w:t>
      </w:r>
    </w:p>
    <w:p>
      <w:pPr>
        <w:pStyle w:val="內文 A"/>
        <w:ind w:left="360" w:firstLine="0"/>
        <w:rPr>
          <w:rFonts w:ascii="標楷體" w:cs="標楷體" w:hAnsi="標楷體" w:eastAsia="標楷體"/>
        </w:rPr>
      </w:pPr>
      <w:r>
        <w:rPr>
          <w:rFonts w:eastAsia="標楷體" w:hint="eastAsia"/>
          <w:outline w:val="0"/>
          <w:color w:val="222222"/>
          <w:kern w:val="0"/>
          <w:u w:color="222222"/>
          <w:rtl w:val="0"/>
          <w:lang w:val="zh-TW" w:eastAsia="zh-TW"/>
          <w14:textFill>
            <w14:solidFill>
              <w14:srgbClr w14:val="222222"/>
            </w14:solidFill>
          </w14:textFill>
        </w:rPr>
        <w:t>例：數學領域可以配合方程式的單元，虛擬：</w:t>
      </w:r>
      <w:r>
        <w:rPr>
          <w:rFonts w:ascii="標楷體" w:hAnsi="標楷體"/>
          <w:outline w:val="0"/>
          <w:color w:val="222222"/>
          <w:kern w:val="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x + y = </w:t>
      </w:r>
      <w:r>
        <w:rPr>
          <w:rFonts w:eastAsia="標楷體" w:hint="eastAsia"/>
          <w:outline w:val="0"/>
          <w:color w:val="222222"/>
          <w:kern w:val="0"/>
          <w:u w:color="222222"/>
          <w:rtl w:val="0"/>
          <w:lang w:val="zh-TW" w:eastAsia="zh-TW"/>
          <w14:textFill>
            <w14:solidFill>
              <w14:srgbClr w14:val="222222"/>
            </w14:solidFill>
          </w14:textFill>
        </w:rPr>
        <w:t xml:space="preserve">我的未來，詢問學生思考 </w:t>
      </w:r>
      <w:r>
        <w:rPr>
          <w:rFonts w:ascii="標楷體" w:hAnsi="標楷體"/>
          <w:outline w:val="0"/>
          <w:color w:val="222222"/>
          <w:kern w:val="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x </w:t>
      </w:r>
      <w:r>
        <w:rPr>
          <w:rFonts w:eastAsia="標楷體" w:hint="eastAsia"/>
          <w:outline w:val="0"/>
          <w:color w:val="222222"/>
          <w:kern w:val="0"/>
          <w:u w:color="222222"/>
          <w:rtl w:val="0"/>
          <w:lang w:val="zh-TW" w:eastAsia="zh-TW"/>
          <w14:textFill>
            <w14:solidFill>
              <w14:srgbClr w14:val="222222"/>
            </w14:solidFill>
          </w14:textFill>
        </w:rPr>
        <w:t xml:space="preserve">和 </w:t>
      </w:r>
      <w:r>
        <w:rPr>
          <w:rFonts w:ascii="標楷體" w:hAnsi="標楷體"/>
          <w:outline w:val="0"/>
          <w:color w:val="222222"/>
          <w:kern w:val="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y</w:t>
      </w:r>
      <w:r>
        <w:rPr>
          <w:rFonts w:eastAsia="標楷體" w:hint="eastAsia"/>
          <w:outline w:val="0"/>
          <w:color w:val="222222"/>
          <w:kern w:val="0"/>
          <w:u w:color="222222"/>
          <w:rtl w:val="0"/>
          <w:lang w:val="zh-TW" w:eastAsia="zh-TW"/>
          <w14:textFill>
            <w14:solidFill>
              <w14:srgbClr w14:val="222222"/>
            </w14:solidFill>
          </w14:textFill>
        </w:rPr>
        <w:t>這兩個未知數應該要放入什麼（財富、技能、家人、朋友</w:t>
      </w:r>
      <w:r>
        <w:rPr>
          <w:rFonts w:ascii="標楷體" w:hAnsi="標楷體" w:hint="default"/>
          <w:outline w:val="0"/>
          <w:color w:val="222222"/>
          <w:kern w:val="0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…</w:t>
      </w:r>
      <w:r>
        <w:rPr>
          <w:rFonts w:eastAsia="標楷體" w:hint="eastAsia"/>
          <w:outline w:val="0"/>
          <w:color w:val="222222"/>
          <w:kern w:val="0"/>
          <w:u w:color="222222"/>
          <w:rtl w:val="0"/>
          <w:lang w:val="zh-TW" w:eastAsia="zh-TW"/>
          <w14:textFill>
            <w14:solidFill>
              <w14:srgbClr w14:val="222222"/>
            </w14:solidFill>
          </w14:textFill>
        </w:rPr>
        <w:t>等），引導他們思考價值觀。</w:t>
      </w:r>
    </w:p>
    <w:p>
      <w:pPr>
        <w:pStyle w:val="內文 A"/>
        <w:numPr>
          <w:ilvl w:val="0"/>
          <w:numId w:val="2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除了教案之外，請再附上：</w:t>
      </w:r>
      <w:r>
        <w:rPr>
          <w:rFonts w:ascii="標楷體" w:hAnsi="標楷體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1. 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學習單（簡單即可，也可從課本、習作、考卷擷取）</w:t>
      </w:r>
    </w:p>
    <w:p>
      <w:pPr>
        <w:pStyle w:val="內文 A"/>
        <w:ind w:firstLine="360"/>
        <w:rPr>
          <w:rFonts w:ascii="標楷體" w:cs="標楷體" w:hAnsi="標楷體" w:eastAsia="標楷體"/>
        </w:rPr>
      </w:pPr>
      <w:r>
        <w:rPr>
          <w:rFonts w:ascii="標楷體" w:hAnsi="標楷體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 xml:space="preserve">2. 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教師的教學心得撰寫（</w:t>
      </w:r>
      <w:r>
        <w:rPr>
          <w:rFonts w:ascii="標楷體" w:hAnsi="標楷體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100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字以內，也可以用上課照片</w:t>
      </w:r>
      <w:r>
        <w:rPr>
          <w:rFonts w:ascii="標楷體" w:hAnsi="標楷體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2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張或學生作品）</w:t>
      </w:r>
      <w:r>
        <w:rPr>
          <w:rFonts w:eastAsia="標楷體" w:hint="eastAsia"/>
          <w:rtl w:val="0"/>
          <w:lang w:val="zh-TW" w:eastAsia="zh-TW"/>
        </w:rPr>
        <w:t>。</w:t>
      </w:r>
    </w:p>
    <w:p>
      <w:pPr>
        <w:pStyle w:val="內文 A"/>
        <w:numPr>
          <w:ilvl w:val="0"/>
          <w:numId w:val="2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本教案格式請至本校首頁右下角「明倫生涯發展教育」資料夾下載，格式可自行調整。</w:t>
      </w:r>
    </w:p>
    <w:p>
      <w:pPr>
        <w:pStyle w:val="內文 A"/>
        <w:numPr>
          <w:ilvl w:val="0"/>
          <w:numId w:val="2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也可至上述資料夾參考前人教案。</w:t>
      </w:r>
    </w:p>
    <w:p>
      <w:pPr>
        <w:pStyle w:val="內文 A"/>
        <w:numPr>
          <w:ilvl w:val="0"/>
          <w:numId w:val="2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請將教案</w:t>
      </w:r>
      <w:r>
        <w:rPr>
          <w:rFonts w:ascii="標楷體" w:hAnsi="標楷體"/>
          <w:rtl w:val="0"/>
          <w:lang w:val="en-US"/>
        </w:rPr>
        <w:t>e-mail</w:t>
      </w:r>
      <w:r>
        <w:rPr>
          <w:rFonts w:eastAsia="標楷體" w:hint="eastAsia"/>
          <w:rtl w:val="0"/>
          <w:lang w:val="zh-TW" w:eastAsia="zh-TW"/>
        </w:rPr>
        <w:t>給輔導組長林之婷</w:t>
      </w:r>
      <w:r>
        <w:rPr>
          <w:rFonts w:ascii="標楷體" w:hAnsi="標楷體"/>
          <w:rtl w:val="0"/>
          <w:lang w:val="en-US"/>
        </w:rPr>
        <w:t xml:space="preserve"> chiting2626@yahoo.com.tw</w:t>
      </w:r>
      <w:r>
        <w:rPr>
          <w:rFonts w:eastAsia="標楷體" w:hint="eastAsia"/>
          <w:rtl w:val="0"/>
          <w:lang w:val="zh-TW" w:eastAsia="zh-TW"/>
        </w:rPr>
        <w:t>彙整。檔名請改成【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生涯發展教案</w:t>
      </w:r>
      <w:r>
        <w:rPr>
          <w:rFonts w:ascii="標楷體" w:hAnsi="標楷體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領域名稱</w:t>
      </w:r>
      <w:r>
        <w:rPr>
          <w:rFonts w:ascii="標楷體" w:hAnsi="標楷體"/>
          <w:outline w:val="0"/>
          <w:color w:val="ff0000"/>
          <w:u w:color="ff0000"/>
          <w:rtl w:val="0"/>
          <w:lang w:val="en-US"/>
          <w14:textFill>
            <w14:solidFill>
              <w14:srgbClr w14:val="FF0000"/>
            </w14:solidFill>
          </w14:textFill>
        </w:rPr>
        <w:t>-</w:t>
      </w:r>
      <w:r>
        <w:rPr>
          <w:rFonts w:eastAsia="標楷體" w:hint="eastAsia"/>
          <w:outline w:val="0"/>
          <w:color w:val="ff0000"/>
          <w:u w:color="ff0000"/>
          <w:rtl w:val="0"/>
          <w:lang w:val="zh-TW" w:eastAsia="zh-TW"/>
          <w14:textFill>
            <w14:solidFill>
              <w14:srgbClr w14:val="FF0000"/>
            </w14:solidFill>
          </w14:textFill>
        </w:rPr>
        <w:t>設計教師姓名</w:t>
      </w:r>
      <w:r>
        <w:rPr>
          <w:rFonts w:eastAsia="標楷體" w:hint="eastAsia"/>
          <w:rtl w:val="0"/>
          <w:lang w:val="zh-TW" w:eastAsia="zh-TW"/>
        </w:rPr>
        <w:t>】。謝謝！</w:t>
      </w:r>
    </w:p>
    <w:p>
      <w:pPr>
        <w:pStyle w:val="內文 A"/>
      </w:pPr>
    </w:p>
    <w:p>
      <w:pPr>
        <w:pStyle w:val="內文 A"/>
      </w:pPr>
    </w:p>
    <w:p>
      <w:pPr>
        <w:pStyle w:val="內文 A"/>
        <w:numPr>
          <w:ilvl w:val="0"/>
          <w:numId w:val="4"/>
        </w:numPr>
        <w:bidi w:val="0"/>
        <w:ind w:right="0"/>
        <w:jc w:val="left"/>
        <w:rPr>
          <w:rFonts w:eastAsia="標楷體" w:hint="eastAsia"/>
          <w:rtl w:val="0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十二年國教課程綱要生涯規劃教育議題學習主題與實質內涵</w:t>
      </w:r>
    </w:p>
    <w:tbl>
      <w:tblPr>
        <w:tblW w:w="918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943"/>
        <w:gridCol w:w="6237"/>
      </w:tblGrid>
      <w:tr>
        <w:tblPrEx>
          <w:shd w:val="clear" w:color="auto" w:fill="ced7e7"/>
        </w:tblPrEx>
        <w:trPr>
          <w:trHeight w:val="260" w:hRule="atLeast"/>
        </w:trPr>
        <w:tc>
          <w:tcPr>
            <w:tcW w:type="dxa" w:w="2943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議題學習主題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議題實質內涵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國民中學階段</w:t>
            </w:r>
          </w:p>
        </w:tc>
      </w:tr>
      <w:tr>
        <w:tblPrEx>
          <w:shd w:val="clear" w:color="auto" w:fill="ced7e7"/>
        </w:tblPrEx>
        <w:trPr>
          <w:trHeight w:val="723" w:hRule="atLeast"/>
        </w:trPr>
        <w:tc>
          <w:tcPr>
            <w:tcW w:type="dxa" w:w="2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生涯規劃教育之基本概念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了解生涯規劃的意義與功能。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J2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具備生涯規劃的知識與概念。</w:t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2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生涯教育與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自我探索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J3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覺察自己的能力與興趣。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J4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了解自己的人格特質與價值觀。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J5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探索性別與生涯規劃的關係。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J6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建立對於未來生涯的願景。</w:t>
            </w:r>
          </w:p>
        </w:tc>
      </w:tr>
      <w:tr>
        <w:tblPrEx>
          <w:shd w:val="clear" w:color="auto" w:fill="ced7e7"/>
        </w:tblPrEx>
        <w:trPr>
          <w:trHeight w:val="1087" w:hRule="atLeast"/>
        </w:trPr>
        <w:tc>
          <w:tcPr>
            <w:tcW w:type="dxa" w:w="2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生涯規劃與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環境探索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J7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學習蒐集與分析工作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教育環境的資料。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J8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教育環境的類型與現況。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J9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社會變遷與工作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教育環境的關係。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J10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職業倫理對工作環境發展的重要性。</w:t>
            </w:r>
          </w:p>
        </w:tc>
      </w:tr>
      <w:tr>
        <w:tblPrEx>
          <w:shd w:val="clear" w:color="auto" w:fill="ced7e7"/>
        </w:tblPrEx>
        <w:trPr>
          <w:trHeight w:val="1523" w:hRule="atLeast"/>
        </w:trPr>
        <w:tc>
          <w:tcPr>
            <w:tcW w:type="dxa" w:w="294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生涯決定與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行動計畫</w:t>
            </w:r>
          </w:p>
        </w:tc>
        <w:tc>
          <w:tcPr>
            <w:tcW w:type="dxa" w:w="623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2dbdb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標楷體" w:cs="標楷體" w:hAnsi="標楷體" w:eastAsia="標楷體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J11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分析影響個人生涯決定的因素。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J12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發展及評估生涯決定的策略。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標楷體" w:cs="標楷體" w:hAnsi="標楷體" w:eastAsia="標楷體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J13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培養生涯規劃及執行的能力。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J14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培養並涵化道德倫理意義於日常生活。</w:t>
            </w:r>
          </w:p>
        </w:tc>
      </w:tr>
    </w:tbl>
    <w:p>
      <w:pPr>
        <w:pStyle w:val="內文 A"/>
        <w:numPr>
          <w:ilvl w:val="0"/>
          <w:numId w:val="4"/>
        </w:numPr>
        <w:rPr>
          <w:lang w:val="zh-TW" w:eastAsia="zh-TW"/>
        </w:rPr>
      </w:pPr>
    </w:p>
    <w:p>
      <w:pPr>
        <w:pStyle w:val="內文 A"/>
        <w:ind w:left="360" w:firstLine="0"/>
        <w:rPr>
          <w:rFonts w:ascii="標楷體" w:cs="標楷體" w:hAnsi="標楷體" w:eastAsia="標楷體"/>
        </w:rPr>
      </w:pPr>
    </w:p>
    <w:p>
      <w:pPr>
        <w:pStyle w:val="內文 A"/>
        <w:rPr>
          <w:sz w:val="28"/>
          <w:szCs w:val="28"/>
        </w:rPr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  <w:rPr>
          <w:b w:val="1"/>
          <w:bCs w:val="1"/>
          <w:sz w:val="36"/>
          <w:szCs w:val="36"/>
        </w:rPr>
      </w:pPr>
      <w:r>
        <w:rPr>
          <w:rFonts w:ascii="新細明體" w:cs="新細明體" w:hAnsi="新細明體" w:eastAsia="新細明體"/>
          <w:b w:val="1"/>
          <w:bCs w:val="1"/>
          <w:sz w:val="36"/>
          <w:szCs w:val="36"/>
          <w:rtl w:val="0"/>
          <w:lang w:val="zh-TW" w:eastAsia="zh-TW"/>
        </w:rPr>
        <w:t>＊生涯規劃教育融入</w:t>
      </w:r>
      <w:r>
        <w:rPr>
          <w:rFonts w:ascii="Times New Roman" w:hAnsi="Times New Roman"/>
          <w:b w:val="1"/>
          <w:bCs w:val="1"/>
          <w:sz w:val="36"/>
          <w:szCs w:val="36"/>
          <w:u w:val="single"/>
          <w:rtl w:val="0"/>
          <w:lang w:val="en-US"/>
        </w:rPr>
        <w:t xml:space="preserve">   </w:t>
      </w:r>
      <w:r>
        <w:rPr>
          <w:rFonts w:ascii="新細明體" w:cs="新細明體" w:hAnsi="新細明體" w:eastAsia="新細明體"/>
          <w:b w:val="1"/>
          <w:bCs w:val="1"/>
          <w:sz w:val="36"/>
          <w:szCs w:val="36"/>
          <w:u w:val="single"/>
          <w:rtl w:val="0"/>
          <w:lang w:val="zh-TW" w:eastAsia="zh-TW"/>
        </w:rPr>
        <w:t>自然</w:t>
      </w:r>
      <w:r>
        <w:rPr>
          <w:rFonts w:ascii="Times New Roman" w:hAnsi="Times New Roman"/>
          <w:b w:val="1"/>
          <w:bCs w:val="1"/>
          <w:sz w:val="36"/>
          <w:szCs w:val="36"/>
          <w:u w:val="single"/>
          <w:rtl w:val="0"/>
          <w:lang w:val="en-US"/>
        </w:rPr>
        <w:t xml:space="preserve">    </w:t>
      </w:r>
      <w:r>
        <w:rPr>
          <w:rFonts w:ascii="新細明體" w:cs="新細明體" w:hAnsi="新細明體" w:eastAsia="新細明體"/>
          <w:b w:val="1"/>
          <w:bCs w:val="1"/>
          <w:sz w:val="36"/>
          <w:szCs w:val="36"/>
          <w:rtl w:val="0"/>
          <w:lang w:val="zh-TW" w:eastAsia="zh-TW"/>
        </w:rPr>
        <w:t>領域教案</w:t>
      </w:r>
    </w:p>
    <w:tbl>
      <w:tblPr>
        <w:tblW w:w="9735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75"/>
        <w:gridCol w:w="1440"/>
        <w:gridCol w:w="1225"/>
        <w:gridCol w:w="755"/>
        <w:gridCol w:w="540"/>
        <w:gridCol w:w="540"/>
        <w:gridCol w:w="720"/>
        <w:gridCol w:w="540"/>
        <w:gridCol w:w="2700"/>
      </w:tblGrid>
      <w:tr>
        <w:tblPrEx>
          <w:shd w:val="clear" w:color="auto" w:fill="ced7e7"/>
        </w:tblPrEx>
        <w:trPr>
          <w:trHeight w:val="720" w:hRule="atLeast"/>
        </w:trPr>
        <w:tc>
          <w:tcPr>
            <w:tcW w:type="dxa" w:w="1275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版本</w:t>
            </w:r>
          </w:p>
        </w:tc>
        <w:tc>
          <w:tcPr>
            <w:tcW w:type="dxa" w:w="1440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翰林</w:t>
            </w:r>
          </w:p>
        </w:tc>
        <w:tc>
          <w:tcPr>
            <w:tcW w:type="dxa" w:w="1225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冊別</w:t>
            </w:r>
          </w:p>
        </w:tc>
        <w:tc>
          <w:tcPr>
            <w:tcW w:type="dxa" w:w="1295"/>
            <w:gridSpan w:val="2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第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冊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1260"/>
            <w:gridSpan w:val="2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shd w:val="nil" w:color="auto" w:fill="auto"/>
              </w:rPr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單元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∕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活動名稱</w:t>
            </w:r>
          </w:p>
        </w:tc>
        <w:tc>
          <w:tcPr>
            <w:tcW w:type="dxa" w:w="3240"/>
            <w:gridSpan w:val="2"/>
            <w:tcBorders>
              <w:top w:val="single" w:color="000000" w:sz="18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突變與生物技術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(covid-19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的演變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)</w:t>
            </w:r>
          </w:p>
        </w:tc>
      </w:tr>
      <w:tr>
        <w:tblPrEx>
          <w:shd w:val="clear" w:color="auto" w:fill="ced7e7"/>
        </w:tblPrEx>
        <w:trPr>
          <w:trHeight w:val="705" w:hRule="atLeast"/>
        </w:trPr>
        <w:tc>
          <w:tcPr>
            <w:tcW w:type="dxa" w:w="127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教案設計者</w:t>
            </w:r>
          </w:p>
        </w:tc>
        <w:tc>
          <w:tcPr>
            <w:tcW w:type="dxa" w:w="144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新細明體" w:cs="新細明體" w:hAnsi="新細明體" w:eastAsia="新細明體"/>
                <w:rtl w:val="0"/>
                <w:lang w:val="zh-TW" w:eastAsia="zh-TW"/>
              </w:rPr>
              <w:t>洪志銘</w:t>
            </w:r>
          </w:p>
        </w:tc>
        <w:tc>
          <w:tcPr>
            <w:tcW w:type="dxa" w:w="1225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shd w:val="nil" w:color="auto" w:fill="auto"/>
              </w:rPr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教學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∕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實施時間</w:t>
            </w:r>
          </w:p>
        </w:tc>
        <w:tc>
          <w:tcPr>
            <w:tcW w:type="dxa" w:w="1295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45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分鐘</w:t>
            </w:r>
          </w:p>
        </w:tc>
        <w:tc>
          <w:tcPr>
            <w:tcW w:type="dxa" w:w="12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實施對象</w:t>
            </w:r>
          </w:p>
        </w:tc>
        <w:tc>
          <w:tcPr>
            <w:tcW w:type="dxa" w:w="324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一年級</w:t>
            </w:r>
          </w:p>
        </w:tc>
      </w:tr>
      <w:tr>
        <w:tblPrEx>
          <w:shd w:val="clear" w:color="auto" w:fill="ced7e7"/>
        </w:tblPrEx>
        <w:trPr>
          <w:trHeight w:val="1035" w:hRule="atLeast"/>
        </w:trPr>
        <w:tc>
          <w:tcPr>
            <w:tcW w:type="dxa" w:w="127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生涯規劃教育學習主題</w:t>
            </w:r>
          </w:p>
        </w:tc>
        <w:tc>
          <w:tcPr>
            <w:tcW w:type="dxa" w:w="8460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eff0e9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5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生涯教育與自我探索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生涯規劃與工作</w:t>
            </w:r>
            <w:r>
              <w:rPr>
                <w:rFonts w:ascii="標楷體" w:hAnsi="標楷體"/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教育環境探索</w:t>
            </w:r>
          </w:p>
          <w:p>
            <w:pPr>
              <w:pStyle w:val="內文 A"/>
              <w:numPr>
                <w:ilvl w:val="0"/>
                <w:numId w:val="6"/>
              </w:numPr>
              <w:bidi w:val="0"/>
              <w:ind w:right="0"/>
              <w:jc w:val="left"/>
              <w:rPr>
                <w:sz w:val="24"/>
                <w:szCs w:val="24"/>
                <w:rtl w:val="0"/>
                <w:lang w:val="zh-TW" w:eastAsia="zh-TW"/>
              </w:rPr>
            </w:pPr>
            <w:r>
              <w:rPr>
                <w:rFonts w:eastAsia="標楷體" w:hint="eastAsia"/>
                <w:sz w:val="24"/>
                <w:szCs w:val="24"/>
                <w:shd w:val="nil" w:color="auto" w:fill="auto"/>
                <w:rtl w:val="0"/>
                <w:lang w:val="zh-TW" w:eastAsia="zh-TW"/>
              </w:rPr>
              <w:t>生涯決定與行動計畫</w:t>
            </w:r>
          </w:p>
        </w:tc>
      </w:tr>
      <w:tr>
        <w:tblPrEx>
          <w:shd w:val="clear" w:color="auto" w:fill="ced7e7"/>
        </w:tblPrEx>
        <w:trPr>
          <w:trHeight w:val="1455" w:hRule="atLeast"/>
        </w:trPr>
        <w:tc>
          <w:tcPr>
            <w:tcW w:type="dxa" w:w="127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生涯規劃教育實質內涵</w:t>
            </w:r>
          </w:p>
        </w:tc>
        <w:tc>
          <w:tcPr>
            <w:tcW w:type="dxa" w:w="8460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eff0e9"/>
            <w:tcMar>
              <w:top w:type="dxa" w:w="80"/>
              <w:left w:type="dxa" w:w="392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7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J4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了解自己的人格特質與價值觀。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J6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建立對於未來生涯的願景。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J7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學習蒐集與分析工作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教育環境的資料。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J9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社會變遷與工作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/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教育環境的關係。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J11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分析影響個人生涯決定的因素。</w:t>
            </w:r>
          </w:p>
          <w:p>
            <w:pPr>
              <w:pStyle w:val="內文 A"/>
              <w:numPr>
                <w:ilvl w:val="0"/>
                <w:numId w:val="7"/>
              </w:numPr>
              <w:bidi w:val="0"/>
              <w:ind w:right="0"/>
              <w:jc w:val="left"/>
              <w:rPr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涯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 xml:space="preserve">J12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發展及評估生涯決定的策略。</w:t>
            </w:r>
          </w:p>
        </w:tc>
      </w:tr>
      <w:tr>
        <w:tblPrEx>
          <w:shd w:val="clear" w:color="auto" w:fill="ced7e7"/>
        </w:tblPrEx>
        <w:trPr>
          <w:trHeight w:val="2425" w:hRule="atLeast"/>
        </w:trPr>
        <w:tc>
          <w:tcPr>
            <w:tcW w:type="dxa" w:w="127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  <w:rPr>
                <w:shd w:val="nil" w:color="auto" w:fill="auto"/>
              </w:rPr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單元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∕</w:t>
            </w:r>
          </w:p>
          <w:p>
            <w:pPr>
              <w:pStyle w:val="內文 A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活動目標</w:t>
            </w:r>
          </w:p>
        </w:tc>
        <w:tc>
          <w:tcPr>
            <w:tcW w:type="dxa" w:w="8460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rFonts w:ascii="Arial" w:cs="Arial" w:hAnsi="Arial" w:eastAsia="Arial"/>
                <w:shd w:val="nil" w:color="auto" w:fill="auto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一、認知方面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   1.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了解病毒的突變機制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   2.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認識</w:t>
            </w:r>
            <w:r>
              <w:rPr>
                <w:rFonts w:ascii="標楷體" w:hAnsi="標楷體"/>
                <w:shd w:val="nil" w:color="auto" w:fill="auto"/>
                <w:rtl w:val="0"/>
                <w:lang w:val="en-US"/>
              </w:rPr>
              <w:t>covid-19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的演變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二、技能方面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   1.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增進思考及討論能力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   2.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能主動面對問題尋找資料並增進解決問題的能力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三、情意方面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Fonts w:ascii="Arial" w:cs="Arial" w:hAnsi="Arial" w:eastAsia="Arial"/>
                <w:shd w:val="nil" w:color="auto" w:fill="auto"/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   1.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 xml:space="preserve"> 養成積極求知的態度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Arial" w:hAnsi="Arial"/>
                <w:shd w:val="nil" w:color="auto" w:fill="auto"/>
                <w:rtl w:val="0"/>
                <w:lang w:val="en-US"/>
              </w:rPr>
              <w:t xml:space="preserve">    2.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能以正確的態度面對生活的改變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127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課前準備</w:t>
            </w:r>
          </w:p>
        </w:tc>
        <w:tc>
          <w:tcPr>
            <w:tcW w:type="dxa" w:w="8460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課本、網路資料、學習單</w:t>
            </w:r>
          </w:p>
        </w:tc>
      </w:tr>
      <w:tr>
        <w:tblPrEx>
          <w:shd w:val="clear" w:color="auto" w:fill="ced7e7"/>
        </w:tblPrEx>
        <w:trPr>
          <w:trHeight w:val="695" w:hRule="atLeast"/>
        </w:trPr>
        <w:tc>
          <w:tcPr>
            <w:tcW w:type="dxa" w:w="1275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參考資料</w:t>
            </w:r>
          </w:p>
        </w:tc>
        <w:tc>
          <w:tcPr>
            <w:tcW w:type="dxa" w:w="8460"/>
            <w:gridSpan w:val="8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shd w:val="nil" w:color="auto" w:fill="auto"/>
              </w:rPr>
            </w:pPr>
            <w:r>
              <w:rPr>
                <w:rFonts w:ascii="新細明體" w:cs="新細明體" w:hAnsi="新細明體" w:eastAsia="新細明體"/>
                <w:rtl w:val="0"/>
                <w:lang w:val="zh-TW" w:eastAsia="zh-TW"/>
              </w:rPr>
              <w:t>南一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第二冊課本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網路資料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: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衛生福利部疾病管制署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-Covid-19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專區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(https://www.cdc.gov.tw/)</w:t>
            </w:r>
          </w:p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4695"/>
            <w:gridSpan w:val="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教學</w:t>
            </w: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∕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活動內容說明</w:t>
            </w:r>
          </w:p>
        </w:tc>
        <w:tc>
          <w:tcPr>
            <w:tcW w:type="dxa" w:w="10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時間</w:t>
            </w:r>
          </w:p>
        </w:tc>
        <w:tc>
          <w:tcPr>
            <w:tcW w:type="dxa" w:w="12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教學資源</w:t>
            </w:r>
          </w:p>
        </w:tc>
        <w:tc>
          <w:tcPr>
            <w:tcW w:type="dxa" w:w="2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6" w:space="0" w:shadow="0" w:frame="0"/>
              <w:right w:val="single" w:color="000000" w:sz="18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jc w:val="center"/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備註</w:t>
            </w:r>
          </w:p>
        </w:tc>
      </w:tr>
      <w:tr>
        <w:tblPrEx>
          <w:shd w:val="clear" w:color="auto" w:fill="ced7e7"/>
        </w:tblPrEx>
        <w:trPr>
          <w:trHeight w:val="5060" w:hRule="atLeast"/>
        </w:trPr>
        <w:tc>
          <w:tcPr>
            <w:tcW w:type="dxa" w:w="4695"/>
            <w:gridSpan w:val="4"/>
            <w:tcBorders>
              <w:top w:val="single" w:color="000000" w:sz="6" w:space="0" w:shadow="0" w:frame="0"/>
              <w:left w:val="single" w:color="000000" w:sz="18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jc w:val="both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eastAsia="標楷體" w:hint="eastAsia"/>
                <w:shd w:val="nil" w:color="auto" w:fill="auto"/>
                <w:rtl w:val="0"/>
                <w:lang w:val="ko-KR" w:eastAsia="ko-KR"/>
              </w:rPr>
              <w:t>一、準備活動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課前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numPr>
                <w:ilvl w:val="0"/>
                <w:numId w:val="8"/>
              </w:numPr>
              <w:bidi w:val="0"/>
              <w:ind w:right="0"/>
              <w:jc w:val="both"/>
              <w:rPr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請同學分組針對目前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Covid-19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病毒的變種變異株，進行資料蒐集</w:t>
            </w:r>
          </w:p>
          <w:p>
            <w:pPr>
              <w:pStyle w:val="內文 A"/>
              <w:numPr>
                <w:ilvl w:val="0"/>
                <w:numId w:val="8"/>
              </w:numPr>
              <w:bidi w:val="0"/>
              <w:ind w:right="0"/>
              <w:jc w:val="both"/>
              <w:rPr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請同學分組針對各國對於此一傳染病所進行的防禦措施及成效調查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任選一個國家報告即可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)</w:t>
            </w:r>
          </w:p>
          <w:p>
            <w:pPr>
              <w:pStyle w:val="內文 A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ko-KR" w:eastAsia="ko-KR"/>
              </w:rPr>
              <w:t>二、發展活動</w:t>
            </w:r>
          </w:p>
          <w:p>
            <w:pPr>
              <w:pStyle w:val="內文 A"/>
              <w:numPr>
                <w:ilvl w:val="0"/>
                <w:numId w:val="9"/>
              </w:numPr>
              <w:bidi w:val="0"/>
              <w:ind w:right="0"/>
              <w:jc w:val="both"/>
              <w:rPr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介紹病毒的生物特徵及可能引發的疾病</w:t>
            </w:r>
          </w:p>
          <w:p>
            <w:pPr>
              <w:pStyle w:val="內文 A"/>
              <w:numPr>
                <w:ilvl w:val="0"/>
                <w:numId w:val="9"/>
              </w:numPr>
              <w:bidi w:val="0"/>
              <w:ind w:right="0"/>
              <w:jc w:val="both"/>
              <w:rPr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簡介目前國內外</w:t>
            </w: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Covid-19</w:t>
            </w: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的疾病傳染現況</w:t>
            </w:r>
          </w:p>
          <w:p>
            <w:pPr>
              <w:pStyle w:val="內文 A"/>
              <w:numPr>
                <w:ilvl w:val="0"/>
                <w:numId w:val="9"/>
              </w:numPr>
              <w:bidi w:val="0"/>
              <w:ind w:right="0"/>
              <w:jc w:val="both"/>
              <w:rPr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分組報告調查結果</w:t>
            </w:r>
          </w:p>
          <w:p>
            <w:pPr>
              <w:pStyle w:val="內文 A"/>
              <w:ind w:left="240" w:firstLine="0"/>
              <w:jc w:val="both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bidi w:val="0"/>
              <w:ind w:left="0" w:right="0" w:firstLine="0"/>
              <w:jc w:val="both"/>
              <w:rPr>
                <w:shd w:val="nil" w:color="auto" w:fill="auto"/>
                <w:rtl w:val="0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ko-KR" w:eastAsia="ko-KR"/>
              </w:rPr>
              <w:t>三、綜合活動</w:t>
            </w:r>
          </w:p>
          <w:p>
            <w:pPr>
              <w:pStyle w:val="內文 A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討論此一傳染病造成的影響</w:t>
            </w:r>
          </w:p>
          <w:p>
            <w:pPr>
              <w:pStyle w:val="內文 A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經濟與傳染病預防哪一個重要？如何達到平衡。</w:t>
            </w:r>
          </w:p>
          <w:p>
            <w:pPr>
              <w:pStyle w:val="內文 A"/>
              <w:numPr>
                <w:ilvl w:val="0"/>
                <w:numId w:val="10"/>
              </w:numPr>
              <w:bidi w:val="0"/>
              <w:ind w:right="0"/>
              <w:jc w:val="left"/>
              <w:rPr>
                <w:rFonts w:eastAsia="標楷體" w:hint="eastAsia"/>
                <w:rtl w:val="0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完成學習單</w:t>
            </w:r>
            <w:r>
              <w:rPr>
                <w:rFonts w:ascii="標楷體" w:cs="標楷體" w:hAnsi="標楷體" w:eastAsia="標楷體"/>
                <w:shd w:val="nil" w:color="auto" w:fill="auto"/>
              </w:rPr>
            </w:r>
          </w:p>
        </w:tc>
        <w:tc>
          <w:tcPr>
            <w:tcW w:type="dxa" w:w="108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分鐘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5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分鐘</w:t>
            </w: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20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分鐘</w:t>
            </w: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hd w:val="nil" w:color="auto" w:fill="auto"/>
                <w:rtl w:val="0"/>
                <w:lang w:val="en-US"/>
              </w:rPr>
              <w:t>15</w:t>
            </w: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分鐘</w:t>
            </w:r>
          </w:p>
        </w:tc>
        <w:tc>
          <w:tcPr>
            <w:tcW w:type="dxa" w:w="1260"/>
            <w:gridSpan w:val="2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6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shd w:val="nil" w:color="auto" w:fill="auto"/>
              </w:rPr>
            </w:pPr>
            <w:r>
              <w:rPr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 </w:t>
            </w: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shd w:val="nil" w:color="auto" w:fill="auto"/>
                <w:lang w:val="en-US"/>
              </w:rPr>
            </w:pPr>
          </w:p>
          <w:p>
            <w:pPr>
              <w:pStyle w:val="內文 A"/>
              <w:bidi w:val="0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課本</w:t>
            </w:r>
          </w:p>
          <w:p>
            <w:pPr>
              <w:pStyle w:val="內文 A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新細明體" w:cs="新細明體" w:hAnsi="新細明體" w:eastAsia="新細明體"/>
                <w:shd w:val="nil" w:color="auto" w:fill="auto"/>
                <w:rtl w:val="0"/>
                <w:lang w:val="zh-TW" w:eastAsia="zh-TW"/>
              </w:rPr>
              <w:t>網路影片</w:t>
            </w:r>
          </w:p>
        </w:tc>
        <w:tc>
          <w:tcPr>
            <w:tcW w:type="dxa" w:w="2700"/>
            <w:tcBorders>
              <w:top w:val="single" w:color="000000" w:sz="6" w:space="0" w:shadow="0" w:frame="0"/>
              <w:left w:val="single" w:color="000000" w:sz="6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eff0e9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內文 A"/>
        <w:rPr>
          <w:b w:val="1"/>
          <w:bCs w:val="1"/>
          <w:sz w:val="36"/>
          <w:szCs w:val="36"/>
        </w:rPr>
      </w:pPr>
    </w:p>
    <w:p>
      <w:pPr>
        <w:pStyle w:val="內文 A"/>
        <w:numPr>
          <w:ilvl w:val="0"/>
          <w:numId w:val="11"/>
        </w:numPr>
        <w:bidi w:val="0"/>
        <w:ind w:right="0"/>
        <w:jc w:val="left"/>
        <w:rPr>
          <w:b w:val="1"/>
          <w:bCs w:val="1"/>
          <w:sz w:val="36"/>
          <w:szCs w:val="36"/>
          <w:rtl w:val="0"/>
          <w:lang w:val="zh-TW" w:eastAsia="zh-TW"/>
        </w:rPr>
      </w:pPr>
      <w:r>
        <w:rPr>
          <w:rFonts w:eastAsia="標楷體" w:hint="eastAsia"/>
          <w:b w:val="0"/>
          <w:bCs w:val="0"/>
          <w:sz w:val="36"/>
          <w:szCs w:val="36"/>
          <w:u w:val="single"/>
          <w:rtl w:val="0"/>
          <w:lang w:val="zh-TW" w:eastAsia="zh-TW"/>
        </w:rPr>
        <w:t>學習單</w:t>
      </w:r>
    </w:p>
    <w:p>
      <w:pPr>
        <w:pStyle w:val="內文 A"/>
        <w:rPr>
          <w:rFonts w:ascii="標楷體" w:cs="標楷體" w:hAnsi="標楷體" w:eastAsia="標楷體"/>
          <w:u w:val="single"/>
        </w:rPr>
      </w:pPr>
      <w:r>
        <w:rPr>
          <w:rFonts w:ascii="標楷體" w:hAnsi="標楷體"/>
          <w:sz w:val="36"/>
          <w:szCs w:val="36"/>
          <w:rtl w:val="0"/>
          <w:lang w:val="en-US"/>
        </w:rPr>
        <w:t xml:space="preserve">     </w:t>
      </w:r>
      <w:r>
        <w:rPr>
          <w:rFonts w:ascii="標楷體" w:hAnsi="標楷體"/>
          <w:u w:val="single"/>
          <w:rtl w:val="0"/>
          <w:lang w:val="en-US"/>
        </w:rPr>
        <w:t xml:space="preserve">    </w:t>
      </w:r>
      <w:r>
        <w:rPr>
          <w:rFonts w:eastAsia="標楷體" w:hint="eastAsia"/>
          <w:rtl w:val="0"/>
          <w:lang w:val="zh-TW" w:eastAsia="zh-TW"/>
        </w:rPr>
        <w:t>年</w:t>
      </w:r>
      <w:r>
        <w:rPr>
          <w:rFonts w:ascii="標楷體" w:hAnsi="標楷體"/>
          <w:u w:val="single"/>
          <w:rtl w:val="0"/>
          <w:lang w:val="en-US"/>
        </w:rPr>
        <w:t xml:space="preserve">  </w:t>
      </w:r>
      <w:r>
        <w:rPr>
          <w:rFonts w:eastAsia="標楷體" w:hint="eastAsia"/>
          <w:rtl w:val="0"/>
          <w:lang w:val="zh-TW" w:eastAsia="zh-TW"/>
        </w:rPr>
        <w:t>班  座號</w:t>
      </w:r>
      <w:r>
        <w:rPr>
          <w:rFonts w:ascii="標楷體" w:hAnsi="標楷體"/>
          <w:rtl w:val="0"/>
          <w:lang w:val="en-US"/>
        </w:rPr>
        <w:t>:</w:t>
      </w:r>
      <w:r>
        <w:rPr>
          <w:rFonts w:ascii="標楷體" w:hAnsi="標楷體"/>
          <w:u w:val="single"/>
          <w:rtl w:val="0"/>
          <w:lang w:val="en-US"/>
        </w:rPr>
        <w:t xml:space="preserve">     </w:t>
      </w:r>
      <w:r>
        <w:rPr>
          <w:rFonts w:eastAsia="標楷體" w:hint="eastAsia"/>
          <w:rtl w:val="0"/>
          <w:lang w:val="zh-TW" w:eastAsia="zh-TW"/>
        </w:rPr>
        <w:t>姓名</w:t>
      </w:r>
      <w:r>
        <w:rPr>
          <w:rFonts w:ascii="標楷體" w:hAnsi="標楷體"/>
          <w:rtl w:val="0"/>
          <w:lang w:val="en-US"/>
        </w:rPr>
        <w:t>:</w:t>
      </w:r>
      <w:r>
        <w:rPr>
          <w:rFonts w:ascii="標楷體" w:hAnsi="標楷體"/>
          <w:u w:val="single"/>
          <w:rtl w:val="0"/>
          <w:lang w:val="en-US"/>
        </w:rPr>
        <w:t xml:space="preserve">           </w:t>
      </w:r>
    </w:p>
    <w:p>
      <w:pPr>
        <w:pStyle w:val="內文 A"/>
        <w:jc w:val="center"/>
        <w:rPr>
          <w:b w:val="1"/>
          <w:bCs w:val="1"/>
          <w:sz w:val="36"/>
          <w:szCs w:val="36"/>
          <w:u w:val="single"/>
        </w:rPr>
      </w:pPr>
      <w:r>
        <w:rPr>
          <w:rFonts w:ascii="Times New Roman" w:hAnsi="Times New Roman"/>
          <w:sz w:val="36"/>
          <w:szCs w:val="36"/>
          <w:rtl w:val="0"/>
          <w:lang w:val="en-US"/>
        </w:rPr>
        <w:t>Covid-19</w:t>
      </w:r>
      <w:r>
        <w:rPr>
          <w:rFonts w:eastAsia="標楷體" w:hint="eastAsia"/>
          <w:sz w:val="36"/>
          <w:szCs w:val="36"/>
          <w:rtl w:val="0"/>
          <w:lang w:val="zh-TW" w:eastAsia="zh-TW"/>
        </w:rPr>
        <w:t>調查學習單</w:t>
      </w:r>
    </w:p>
    <w:tbl>
      <w:tblPr>
        <w:tblW w:w="8080" w:type="dxa"/>
        <w:jc w:val="center"/>
        <w:tblInd w:w="500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402"/>
        <w:gridCol w:w="4678"/>
      </w:tblGrid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2"/>
              </w:numPr>
              <w:rPr>
                <w:b w:val="1"/>
                <w:bCs w:val="1"/>
                <w:u w:val="single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  <w:shd w:val="nil" w:color="auto" w:fill="auto"/>
                <w:rtl w:val="0"/>
                <w:lang w:val="en-US"/>
              </w:rPr>
              <w:t>Covid-19</w:t>
            </w:r>
            <w:r>
              <w:rPr>
                <w:rFonts w:eastAsia="標楷體" w:hint="eastAsia"/>
                <w:b w:val="0"/>
                <w:bCs w:val="0"/>
                <w:u w:val="none"/>
                <w:shd w:val="nil" w:color="auto" w:fill="auto"/>
                <w:rtl w:val="0"/>
                <w:lang w:val="zh-TW" w:eastAsia="zh-TW"/>
              </w:rPr>
              <w:t>的起源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4"/>
              </w:numPr>
              <w:rPr>
                <w:b w:val="1"/>
                <w:bCs w:val="1"/>
                <w:u w:val="single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  <w:shd w:val="nil" w:color="auto" w:fill="auto"/>
                <w:rtl w:val="0"/>
                <w:lang w:val="en-US"/>
              </w:rPr>
              <w:t>Covid-19</w:t>
            </w:r>
            <w:r>
              <w:rPr>
                <w:rFonts w:eastAsia="標楷體" w:hint="eastAsia"/>
                <w:b w:val="0"/>
                <w:bCs w:val="0"/>
                <w:u w:val="none"/>
                <w:shd w:val="nil" w:color="auto" w:fill="auto"/>
                <w:rtl w:val="0"/>
                <w:lang w:val="zh-TW" w:eastAsia="zh-TW"/>
              </w:rPr>
              <w:t>的病毒特性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6"/>
              </w:numPr>
              <w:rPr>
                <w:b w:val="1"/>
                <w:bCs w:val="1"/>
                <w:u w:val="single"/>
                <w:lang w:val="en-US"/>
              </w:rPr>
            </w:pPr>
            <w:r>
              <w:rPr>
                <w:rFonts w:ascii="Times New Roman" w:hAnsi="Times New Roman"/>
                <w:b w:val="0"/>
                <w:bCs w:val="0"/>
                <w:u w:val="none"/>
                <w:shd w:val="nil" w:color="auto" w:fill="auto"/>
                <w:rtl w:val="0"/>
                <w:lang w:val="en-US"/>
              </w:rPr>
              <w:t>Covid-19</w:t>
            </w:r>
            <w:r>
              <w:rPr>
                <w:rFonts w:eastAsia="標楷體" w:hint="eastAsia"/>
                <w:b w:val="0"/>
                <w:bCs w:val="0"/>
                <w:u w:val="none"/>
                <w:shd w:val="nil" w:color="auto" w:fill="auto"/>
                <w:rtl w:val="0"/>
                <w:lang w:val="zh-TW" w:eastAsia="zh-TW"/>
              </w:rPr>
              <w:t>的病毒變異株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8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18"/>
              </w:numPr>
              <w:jc w:val="both"/>
              <w:rPr>
                <w:b w:val="1"/>
                <w:bCs w:val="1"/>
                <w:u w:val="single"/>
                <w:lang w:val="zh-TW" w:eastAsia="zh-TW"/>
              </w:rPr>
            </w:pPr>
            <w:r>
              <w:rPr>
                <w:rFonts w:eastAsia="標楷體" w:hint="eastAsia"/>
                <w:b w:val="0"/>
                <w:bCs w:val="0"/>
                <w:u w:val="none"/>
                <w:shd w:val="nil" w:color="auto" w:fill="auto"/>
                <w:rtl w:val="0"/>
                <w:lang w:val="zh-TW" w:eastAsia="zh-TW"/>
              </w:rPr>
              <w:t>各國對於此一傳染病所進行的防禦措施及成效調查</w:t>
            </w:r>
            <w:r>
              <w:rPr>
                <w:rFonts w:ascii="Times New Roman" w:hAnsi="Times New Roman"/>
                <w:b w:val="0"/>
                <w:bCs w:val="0"/>
                <w:u w:val="none"/>
                <w:shd w:val="nil" w:color="auto" w:fill="auto"/>
                <w:rtl w:val="0"/>
                <w:lang w:val="en-US"/>
              </w:rPr>
              <w:t>(</w:t>
            </w:r>
            <w:r>
              <w:rPr>
                <w:rFonts w:eastAsia="標楷體" w:hint="eastAsia"/>
                <w:b w:val="0"/>
                <w:bCs w:val="0"/>
                <w:u w:val="none"/>
                <w:shd w:val="nil" w:color="auto" w:fill="auto"/>
                <w:rtl w:val="0"/>
                <w:lang w:val="zh-TW" w:eastAsia="zh-TW"/>
              </w:rPr>
              <w:t>任選一個國家報告即可</w:t>
            </w:r>
            <w:r>
              <w:rPr>
                <w:rFonts w:ascii="Times New Roman" w:hAnsi="Times New Roman"/>
                <w:b w:val="0"/>
                <w:bCs w:val="0"/>
                <w:u w:val="none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5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0"/>
              </w:numPr>
              <w:rPr>
                <w:b w:val="1"/>
                <w:bCs w:val="1"/>
                <w:u w:val="single"/>
                <w:lang w:val="zh-TW" w:eastAsia="zh-TW"/>
              </w:rPr>
            </w:pPr>
            <w:r>
              <w:rPr>
                <w:rFonts w:eastAsia="標楷體" w:hint="eastAsia"/>
                <w:b w:val="0"/>
                <w:bCs w:val="0"/>
                <w:u w:val="none"/>
                <w:shd w:val="nil" w:color="auto" w:fill="auto"/>
                <w:rtl w:val="0"/>
                <w:lang w:val="zh-TW" w:eastAsia="zh-TW"/>
              </w:rPr>
              <w:t>簡介目前國內外</w:t>
            </w:r>
            <w:r>
              <w:rPr>
                <w:rFonts w:ascii="Times New Roman" w:hAnsi="Times New Roman"/>
                <w:b w:val="0"/>
                <w:bCs w:val="0"/>
                <w:u w:val="none"/>
                <w:shd w:val="nil" w:color="auto" w:fill="auto"/>
                <w:rtl w:val="0"/>
                <w:lang w:val="en-US"/>
              </w:rPr>
              <w:t>Covid-19</w:t>
            </w:r>
            <w:r>
              <w:rPr>
                <w:rFonts w:eastAsia="標楷體" w:hint="eastAsia"/>
                <w:b w:val="0"/>
                <w:bCs w:val="0"/>
                <w:u w:val="none"/>
                <w:shd w:val="nil" w:color="auto" w:fill="auto"/>
                <w:rtl w:val="0"/>
                <w:lang w:val="zh-TW" w:eastAsia="zh-TW"/>
              </w:rPr>
              <w:t>的疾病傳染現況及預防措施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2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受影響的行業及造成的經濟影響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1200" w:hRule="atLeast"/>
        </w:trPr>
        <w:tc>
          <w:tcPr>
            <w:tcW w:type="dxa" w:w="340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numPr>
                <w:ilvl w:val="0"/>
                <w:numId w:val="24"/>
              </w:numPr>
              <w:rPr>
                <w:rFonts w:eastAsia="標楷體" w:hint="eastAsia"/>
                <w:lang w:val="zh-TW" w:eastAsia="zh-TW"/>
              </w:rPr>
            </w:pPr>
            <w:r>
              <w:rPr>
                <w:rFonts w:eastAsia="標楷體" w:hint="eastAsia"/>
                <w:shd w:val="nil" w:color="auto" w:fill="auto"/>
                <w:rtl w:val="0"/>
                <w:lang w:val="zh-TW" w:eastAsia="zh-TW"/>
              </w:rPr>
              <w:t>針對此一事件，是否會影響未來自己選擇行業別的決定？為什麼？</w:t>
            </w:r>
          </w:p>
        </w:tc>
        <w:tc>
          <w:tcPr>
            <w:tcW w:type="dxa" w:w="46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  <w:rPr>
                <w:b w:val="1"/>
                <w:bCs w:val="1"/>
                <w:u w:val="single"/>
                <w:shd w:val="nil" w:color="auto" w:fill="auto"/>
                <w:lang w:val="en-US"/>
              </w:rPr>
            </w:pPr>
          </w:p>
          <w:p>
            <w:pPr>
              <w:pStyle w:val="內文 A"/>
            </w:pPr>
            <w:r>
              <w:rPr>
                <w:b w:val="1"/>
                <w:bCs w:val="1"/>
                <w:u w:val="single"/>
                <w:shd w:val="nil" w:color="auto" w:fill="auto"/>
                <w:lang w:val="en-US"/>
              </w:rPr>
            </w:r>
          </w:p>
        </w:tc>
      </w:tr>
    </w:tbl>
    <w:p>
      <w:pPr>
        <w:pStyle w:val="內文 A"/>
        <w:ind w:left="392" w:hanging="392"/>
        <w:jc w:val="center"/>
        <w:rPr>
          <w:b w:val="1"/>
          <w:bCs w:val="1"/>
          <w:sz w:val="36"/>
          <w:szCs w:val="36"/>
          <w:u w:val="single"/>
        </w:rPr>
      </w:pPr>
    </w:p>
    <w:p>
      <w:pPr>
        <w:pStyle w:val="內文 A"/>
        <w:rPr>
          <w:b w:val="1"/>
          <w:bCs w:val="1"/>
          <w:sz w:val="36"/>
          <w:szCs w:val="36"/>
          <w:u w:val="single"/>
        </w:rPr>
      </w:pPr>
    </w:p>
    <w:p>
      <w:pPr>
        <w:pStyle w:val="內文 A"/>
        <w:numPr>
          <w:ilvl w:val="0"/>
          <w:numId w:val="11"/>
        </w:numPr>
        <w:bidi w:val="0"/>
        <w:ind w:right="0"/>
        <w:jc w:val="left"/>
        <w:rPr>
          <w:b w:val="1"/>
          <w:bCs w:val="1"/>
          <w:sz w:val="36"/>
          <w:szCs w:val="36"/>
          <w:rtl w:val="0"/>
          <w:lang w:val="zh-TW" w:eastAsia="zh-TW"/>
        </w:rPr>
      </w:pPr>
      <w:r>
        <w:rPr>
          <w:rFonts w:eastAsia="標楷體" w:hint="eastAsia"/>
          <w:b w:val="0"/>
          <w:bCs w:val="0"/>
          <w:sz w:val="36"/>
          <w:szCs w:val="36"/>
          <w:u w:val="single"/>
          <w:rtl w:val="0"/>
          <w:lang w:val="zh-TW" w:eastAsia="zh-TW"/>
        </w:rPr>
        <w:t>教師心得撰寫</w:t>
      </w:r>
      <w:r>
        <w:rPr>
          <w:rFonts w:ascii="標楷體" w:hAnsi="標楷體"/>
          <w:b w:val="0"/>
          <w:bCs w:val="0"/>
          <w:sz w:val="36"/>
          <w:szCs w:val="36"/>
          <w:u w:val="single"/>
          <w:rtl w:val="0"/>
          <w:lang w:val="en-US"/>
        </w:rPr>
        <w:t>/</w:t>
      </w:r>
      <w:r>
        <w:rPr>
          <w:rFonts w:eastAsia="標楷體" w:hint="eastAsia"/>
          <w:b w:val="0"/>
          <w:bCs w:val="0"/>
          <w:sz w:val="36"/>
          <w:szCs w:val="36"/>
          <w:u w:val="single"/>
          <w:rtl w:val="0"/>
          <w:lang w:val="zh-TW" w:eastAsia="zh-TW"/>
        </w:rPr>
        <w:t>活動照片</w:t>
      </w:r>
      <w:r>
        <w:rPr>
          <w:rFonts w:ascii="標楷體" w:hAnsi="標楷體"/>
          <w:b w:val="0"/>
          <w:bCs w:val="0"/>
          <w:sz w:val="36"/>
          <w:szCs w:val="36"/>
          <w:u w:val="single"/>
          <w:rtl w:val="0"/>
          <w:lang w:val="en-US"/>
        </w:rPr>
        <w:t>/</w:t>
      </w:r>
      <w:r>
        <w:rPr>
          <w:rFonts w:eastAsia="標楷體" w:hint="eastAsia"/>
          <w:b w:val="0"/>
          <w:bCs w:val="0"/>
          <w:sz w:val="36"/>
          <w:szCs w:val="36"/>
          <w:u w:val="single"/>
          <w:rtl w:val="0"/>
          <w:lang w:val="zh-TW" w:eastAsia="zh-TW"/>
        </w:rPr>
        <w:t>學生作品</w:t>
      </w:r>
    </w:p>
    <w:p>
      <w:pPr>
        <w:pStyle w:val="內文 A"/>
        <w:ind w:left="480" w:hanging="480"/>
        <w:rPr>
          <w:rFonts w:ascii="標楷體" w:cs="標楷體" w:hAnsi="標楷體" w:eastAsia="標楷體"/>
          <w:lang w:val="zh-TW" w:eastAsia="zh-TW"/>
        </w:rPr>
      </w:pPr>
      <w:r>
        <w:rPr>
          <w:rFonts w:eastAsia="標楷體" w:hint="eastAsia"/>
          <w:rtl w:val="0"/>
          <w:lang w:val="zh-TW" w:eastAsia="zh-TW"/>
        </w:rPr>
        <w:t>心得：藉由此一課程，讓學生能將時事與課程連結，隨時留意周遭環境的變遷，並思考對未來的規劃。</w:t>
      </w:r>
    </w:p>
    <w:p>
      <w:pPr>
        <w:pStyle w:val="內文 A"/>
      </w:pPr>
      <w:r>
        <w:rPr>
          <w:sz w:val="32"/>
          <w:szCs w:val="32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PingFang TC Regular">
    <w:charset w:val="00"/>
    <w:family w:val="roman"/>
    <w:pitch w:val="default"/>
  </w:font>
  <w:font w:name="標楷體">
    <w:charset w:val="00"/>
    <w:family w:val="roman"/>
    <w:pitch w:val="default"/>
  </w:font>
  <w:font w:name="Cambria">
    <w:charset w:val="00"/>
    <w:family w:val="roman"/>
    <w:pitch w:val="default"/>
  </w:font>
  <w:font w:name="新細明體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已輸入樣式 1"/>
  </w:abstractNum>
  <w:abstractNum w:abstractNumId="1">
    <w:multiLevelType w:val="hybridMultilevel"/>
    <w:styleLink w:val="已輸入樣式 1"/>
    <w:lvl w:ilvl="0">
      <w:start w:val="1"/>
      <w:numFmt w:val="bullet"/>
      <w:suff w:val="tab"/>
      <w:lvlText w:val="＊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left" w:pos="360"/>
        </w:tabs>
        <w:ind w:left="9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left" w:pos="360"/>
        </w:tabs>
        <w:ind w:left="14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60"/>
        </w:tabs>
        <w:ind w:left="19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left" w:pos="360"/>
        </w:tabs>
        <w:ind w:left="24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left" w:pos="360"/>
        </w:tabs>
        <w:ind w:left="28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60"/>
        </w:tabs>
        <w:ind w:left="33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left" w:pos="360"/>
        </w:tabs>
        <w:ind w:left="38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left" w:pos="360"/>
        </w:tabs>
        <w:ind w:left="43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已輸入樣式 2"/>
  </w:abstractNum>
  <w:abstractNum w:abstractNumId="3">
    <w:multiLevelType w:val="hybridMultilevel"/>
    <w:styleLink w:val="已輸入樣式 2"/>
    <w:lvl w:ilvl="0">
      <w:start w:val="1"/>
      <w:numFmt w:val="bullet"/>
      <w:suff w:val="tab"/>
      <w:lvlText w:val="＊"/>
      <w:lvlJc w:val="left"/>
      <w:pPr>
        <w:ind w:left="3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left" w:pos="360"/>
        </w:tabs>
        <w:ind w:left="9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left" w:pos="360"/>
        </w:tabs>
        <w:ind w:left="14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left" w:pos="360"/>
        </w:tabs>
        <w:ind w:left="19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left" w:pos="360"/>
        </w:tabs>
        <w:ind w:left="240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left" w:pos="360"/>
        </w:tabs>
        <w:ind w:left="28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left" w:pos="360"/>
        </w:tabs>
        <w:ind w:left="336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left" w:pos="360"/>
        </w:tabs>
        <w:ind w:left="384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left" w:pos="360"/>
        </w:tabs>
        <w:ind w:left="432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●"/>
      <w:lvlJc w:val="left"/>
      <w:pPr>
        <w:tabs>
          <w:tab w:val="num" w:pos="168"/>
        </w:tabs>
        <w:ind w:left="4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num" w:pos="960"/>
        </w:tabs>
        <w:ind w:left="12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num" w:pos="1440"/>
        </w:tabs>
        <w:ind w:left="17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1920"/>
        </w:tabs>
        <w:ind w:left="22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num" w:pos="2400"/>
        </w:tabs>
        <w:ind w:left="271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num" w:pos="2880"/>
        </w:tabs>
        <w:ind w:left="319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3360"/>
        </w:tabs>
        <w:ind w:left="36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num" w:pos="3840"/>
        </w:tabs>
        <w:ind w:left="41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num" w:pos="4320"/>
        </w:tabs>
        <w:ind w:left="46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●"/>
      <w:lvlJc w:val="left"/>
      <w:pPr>
        <w:tabs>
          <w:tab w:val="num" w:pos="168"/>
        </w:tabs>
        <w:ind w:left="480" w:hanging="48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■"/>
      <w:lvlJc w:val="left"/>
      <w:pPr>
        <w:tabs>
          <w:tab w:val="num" w:pos="960"/>
        </w:tabs>
        <w:ind w:left="12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◆"/>
      <w:lvlJc w:val="left"/>
      <w:pPr>
        <w:tabs>
          <w:tab w:val="num" w:pos="1440"/>
        </w:tabs>
        <w:ind w:left="17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●"/>
      <w:lvlJc w:val="left"/>
      <w:pPr>
        <w:tabs>
          <w:tab w:val="num" w:pos="1920"/>
        </w:tabs>
        <w:ind w:left="22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■"/>
      <w:lvlJc w:val="left"/>
      <w:pPr>
        <w:tabs>
          <w:tab w:val="num" w:pos="2400"/>
        </w:tabs>
        <w:ind w:left="271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◆"/>
      <w:lvlJc w:val="left"/>
      <w:pPr>
        <w:tabs>
          <w:tab w:val="num" w:pos="2880"/>
        </w:tabs>
        <w:ind w:left="319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●"/>
      <w:lvlJc w:val="left"/>
      <w:pPr>
        <w:tabs>
          <w:tab w:val="num" w:pos="3360"/>
        </w:tabs>
        <w:ind w:left="367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■"/>
      <w:lvlJc w:val="left"/>
      <w:pPr>
        <w:tabs>
          <w:tab w:val="num" w:pos="3840"/>
        </w:tabs>
        <w:ind w:left="415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◆"/>
      <w:lvlJc w:val="left"/>
      <w:pPr>
        <w:tabs>
          <w:tab w:val="num" w:pos="4320"/>
        </w:tabs>
        <w:ind w:left="4632" w:hanging="79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480"/>
        </w:tabs>
        <w:ind w:left="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1440"/>
        </w:tabs>
        <w:ind w:left="15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2880"/>
        </w:tabs>
        <w:ind w:left="30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4320"/>
        </w:tabs>
        <w:ind w:left="44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nothing"/>
      <w:lvlText w:val="%1."/>
      <w:lvlJc w:val="left"/>
      <w:pPr>
        <w:ind w:left="622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3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6."/>
      <w:lvlJc w:val="left"/>
      <w:pPr>
        <w:ind w:left="40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9."/>
      <w:lvlJc w:val="left"/>
      <w:pPr>
        <w:ind w:left="62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32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327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28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76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767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72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4207" w:hanging="84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4207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2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960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00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840" w:hanging="1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4"/>
    <w:lvlOverride w:ilvl="0">
      <w:lvl w:ilvl="0">
        <w:start w:val="1"/>
        <w:numFmt w:val="bullet"/>
        <w:suff w:val="tab"/>
        <w:lvlText w:val="●"/>
        <w:lvlJc w:val="left"/>
        <w:pPr>
          <w:tabs>
            <w:tab w:val="num" w:pos="140"/>
          </w:tabs>
          <w:ind w:left="48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■"/>
        <w:lvlJc w:val="left"/>
        <w:pPr>
          <w:tabs>
            <w:tab w:val="num" w:pos="960"/>
          </w:tabs>
          <w:ind w:left="1300" w:hanging="8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◆"/>
        <w:lvlJc w:val="left"/>
        <w:pPr>
          <w:tabs>
            <w:tab w:val="num" w:pos="1440"/>
          </w:tabs>
          <w:ind w:left="1780" w:hanging="8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num" w:pos="1920"/>
          </w:tabs>
          <w:ind w:left="2260" w:hanging="8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■"/>
        <w:lvlJc w:val="left"/>
        <w:pPr>
          <w:tabs>
            <w:tab w:val="num" w:pos="2400"/>
          </w:tabs>
          <w:ind w:left="2740" w:hanging="8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◆"/>
        <w:lvlJc w:val="left"/>
        <w:pPr>
          <w:tabs>
            <w:tab w:val="num" w:pos="2880"/>
          </w:tabs>
          <w:ind w:left="3220" w:hanging="8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num" w:pos="3360"/>
          </w:tabs>
          <w:ind w:left="3700" w:hanging="8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■"/>
        <w:lvlJc w:val="left"/>
        <w:pPr>
          <w:tabs>
            <w:tab w:val="num" w:pos="3840"/>
          </w:tabs>
          <w:ind w:left="4180" w:hanging="8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◆"/>
        <w:lvlJc w:val="left"/>
        <w:pPr>
          <w:tabs>
            <w:tab w:val="num" w:pos="4320"/>
          </w:tabs>
          <w:ind w:left="4660" w:hanging="82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0"/>
          <w:szCs w:val="20"/>
          <w:highlight w:val="none"/>
          <w:vertAlign w:val="baseline"/>
        </w:rPr>
      </w:lvl>
    </w:lvlOverride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"/>
    <w:lvlOverride w:ilvl="0">
      <w:lvl w:ilvl="0">
        <w:start w:val="1"/>
        <w:numFmt w:val="bullet"/>
        <w:suff w:val="tab"/>
        <w:lvlText w:val="＊"/>
        <w:lvlJc w:val="left"/>
        <w:pPr>
          <w:ind w:left="360" w:hanging="36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■"/>
        <w:lvlJc w:val="left"/>
        <w:pPr>
          <w:tabs>
            <w:tab w:val="left" w:pos="360"/>
          </w:tabs>
          <w:ind w:left="96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◆"/>
        <w:lvlJc w:val="left"/>
        <w:pPr>
          <w:tabs>
            <w:tab w:val="left" w:pos="360"/>
          </w:tabs>
          <w:ind w:left="144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●"/>
        <w:lvlJc w:val="left"/>
        <w:pPr>
          <w:tabs>
            <w:tab w:val="left" w:pos="360"/>
          </w:tabs>
          <w:ind w:left="192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■"/>
        <w:lvlJc w:val="left"/>
        <w:pPr>
          <w:tabs>
            <w:tab w:val="left" w:pos="360"/>
          </w:tabs>
          <w:ind w:left="240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◆"/>
        <w:lvlJc w:val="left"/>
        <w:pPr>
          <w:tabs>
            <w:tab w:val="left" w:pos="360"/>
          </w:tabs>
          <w:ind w:left="288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●"/>
        <w:lvlJc w:val="left"/>
        <w:pPr>
          <w:tabs>
            <w:tab w:val="left" w:pos="360"/>
          </w:tabs>
          <w:ind w:left="336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■"/>
        <w:lvlJc w:val="left"/>
        <w:pPr>
          <w:tabs>
            <w:tab w:val="left" w:pos="360"/>
          </w:tabs>
          <w:ind w:left="384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◆"/>
        <w:lvlJc w:val="left"/>
        <w:pPr>
          <w:tabs>
            <w:tab w:val="left" w:pos="360"/>
          </w:tabs>
          <w:ind w:left="4320" w:hanging="480"/>
        </w:pP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9"/>
  </w:num>
  <w:num w:numId="13">
    <w:abstractNumId w:val="10"/>
  </w:num>
  <w:num w:numId="14">
    <w:abstractNumId w:val="10"/>
    <w:lvlOverride w:ilvl="0">
      <w:startOverride w:val="2"/>
    </w:lvlOverride>
  </w:num>
  <w:num w:numId="15">
    <w:abstractNumId w:val="11"/>
  </w:num>
  <w:num w:numId="16">
    <w:abstractNumId w:val="11"/>
    <w:lvlOverride w:ilvl="0">
      <w:startOverride w:val="3"/>
    </w:lvlOverride>
  </w:num>
  <w:num w:numId="17">
    <w:abstractNumId w:val="12"/>
  </w:num>
  <w:num w:numId="18">
    <w:abstractNumId w:val="12"/>
    <w:lvlOverride w:ilvl="0">
      <w:startOverride w:val="4"/>
    </w:lvlOverride>
  </w:num>
  <w:num w:numId="19">
    <w:abstractNumId w:val="13"/>
  </w:num>
  <w:num w:numId="20">
    <w:abstractNumId w:val="13"/>
    <w:lvlOverride w:ilvl="0">
      <w:startOverride w:val="5"/>
    </w:lvlOverride>
  </w:num>
  <w:num w:numId="21">
    <w:abstractNumId w:val="14"/>
  </w:num>
  <w:num w:numId="22">
    <w:abstractNumId w:val="14"/>
    <w:lvlOverride w:ilvl="0">
      <w:startOverride w:val="6"/>
    </w:lvlOverride>
  </w:num>
  <w:num w:numId="23">
    <w:abstractNumId w:val="15"/>
  </w:num>
  <w:num w:numId="24">
    <w:abstractNumId w:val="15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PingFang TC Regular" w:cs="Arial Unicode MS" w:hAnsi="PingFang TC Regular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已輸入樣式 1">
    <w:name w:val="已輸入樣式 1"/>
    <w:pPr>
      <w:numPr>
        <w:numId w:val="1"/>
      </w:numPr>
    </w:pPr>
  </w:style>
  <w:style w:type="numbering" w:styleId="已輸入樣式 2">
    <w:name w:val="已輸入樣式 2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PingFang TC Semibold"/>
        <a:ea typeface="PingFang TC Semibold"/>
        <a:cs typeface="PingFang TC Semibold"/>
      </a:majorFont>
      <a:minorFont>
        <a:latin typeface="PingFang TC Regular"/>
        <a:ea typeface="PingFang TC Regular"/>
        <a:cs typeface="PingFang TC Regula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