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line">
                  <wp:posOffset>0</wp:posOffset>
                </wp:positionV>
                <wp:extent cx="914400" cy="342900"/>
                <wp:effectExtent l="0" t="0" r="0" b="0"/>
                <wp:wrapNone/>
                <wp:docPr id="1073741825" name="officeArt object" descr="附件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內文 A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  <w:rtl w:val="0"/>
                                <w:lang w:val="zh-TW" w:eastAsia="zh-TW"/>
                              </w:rPr>
                              <w:t>附件二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9.0pt;margin-top:0.0pt;width:72.0pt;height:27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內文 A"/>
                        <w:jc w:val="center"/>
                      </w:pPr>
                      <w:r>
                        <w:rPr>
                          <w:rFonts w:eastAsia="標楷體" w:hint="eastAsia"/>
                          <w:sz w:val="32"/>
                          <w:szCs w:val="32"/>
                          <w:rtl w:val="0"/>
                          <w:lang w:val="zh-TW" w:eastAsia="zh-TW"/>
                        </w:rPr>
                        <w:t>附件二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eastAsia="標楷體" w:hint="eastAsia"/>
          <w:sz w:val="36"/>
          <w:szCs w:val="36"/>
          <w:rtl w:val="0"/>
          <w:lang w:val="zh-TW" w:eastAsia="zh-TW"/>
        </w:rPr>
        <w:t>彰化縣立明倫國中</w:t>
      </w:r>
      <w:r>
        <w:rPr>
          <w:b w:val="1"/>
          <w:bCs w:val="1"/>
          <w:sz w:val="36"/>
          <w:szCs w:val="36"/>
          <w:rtl w:val="0"/>
          <w:lang w:val="en-US"/>
        </w:rPr>
        <w:t xml:space="preserve"> 11</w:t>
      </w:r>
      <w:r>
        <w:rPr>
          <w:b w:val="1"/>
          <w:bCs w:val="1"/>
          <w:sz w:val="36"/>
          <w:szCs w:val="36"/>
          <w:rtl w:val="0"/>
          <w:lang w:val="zh-TW" w:eastAsia="zh-TW"/>
        </w:rPr>
        <w:t>1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學年度第</w:t>
      </w:r>
      <w:r>
        <w:rPr>
          <w:b w:val="1"/>
          <w:bCs w:val="1"/>
          <w:sz w:val="36"/>
          <w:szCs w:val="36"/>
          <w:rtl w:val="0"/>
          <w:lang w:val="en-US"/>
        </w:rPr>
        <w:t xml:space="preserve"> 2   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學期</w:t>
      </w:r>
    </w:p>
    <w:p>
      <w:pPr>
        <w:pStyle w:val="內文 A"/>
        <w:jc w:val="center"/>
        <w:rPr>
          <w:b w:val="1"/>
          <w:bCs w:val="1"/>
          <w:sz w:val="36"/>
          <w:szCs w:val="36"/>
        </w:rPr>
      </w:pPr>
      <w:r>
        <w:rPr>
          <w:rFonts w:eastAsia="標楷體" w:hint="eastAsia"/>
          <w:sz w:val="36"/>
          <w:szCs w:val="36"/>
          <w:rtl w:val="0"/>
          <w:lang w:val="zh-TW" w:eastAsia="zh-TW"/>
        </w:rPr>
        <w:t>生涯規劃教育融入</w:t>
      </w:r>
      <w:r>
        <w:rPr>
          <w:b w:val="1"/>
          <w:bCs w:val="1"/>
          <w:sz w:val="36"/>
          <w:szCs w:val="36"/>
          <w:u w:val="single"/>
          <w:rtl w:val="0"/>
          <w:lang w:val="en-US"/>
        </w:rPr>
        <w:t xml:space="preserve">  __</w:t>
      </w:r>
      <w:r>
        <w:rPr>
          <w:rFonts w:eastAsia="標楷體" w:hint="eastAsia"/>
          <w:sz w:val="36"/>
          <w:szCs w:val="36"/>
          <w:u w:val="single"/>
          <w:rtl w:val="0"/>
          <w:lang w:val="zh-TW" w:eastAsia="zh-TW"/>
        </w:rPr>
        <w:t>自然</w:t>
      </w:r>
      <w:r>
        <w:rPr>
          <w:b w:val="1"/>
          <w:bCs w:val="1"/>
          <w:sz w:val="36"/>
          <w:szCs w:val="36"/>
          <w:u w:val="single"/>
          <w:rtl w:val="0"/>
          <w:lang w:val="en-US"/>
        </w:rPr>
        <w:t xml:space="preserve">_____    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領域單元</w:t>
      </w:r>
    </w:p>
    <w:p>
      <w:pPr>
        <w:pStyle w:val="內文 A"/>
      </w:pPr>
    </w:p>
    <w:p>
      <w:pPr>
        <w:pStyle w:val="內文 A"/>
        <w:rPr>
          <w:rFonts w:ascii="標楷體" w:cs="標楷體" w:hAnsi="標楷體" w:eastAsia="標楷體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老師，您好！感謝您協助輔導組，以下事項煩請您詳閱：</w:t>
      </w:r>
    </w:p>
    <w:p>
      <w:pPr>
        <w:pStyle w:val="內文 A"/>
        <w:numPr>
          <w:ilvl w:val="0"/>
          <w:numId w:val="2"/>
        </w:numPr>
        <w:bidi w:val="0"/>
        <w:spacing w:before="10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各領域每學期填寫一份，一、二、三年級皆須填寫。實施日期可以「週次」日期填寫（如</w:t>
      </w:r>
      <w:r>
        <w:rPr>
          <w:rFonts w:ascii="標楷體" w:hAnsi="標楷體"/>
          <w:rtl w:val="0"/>
          <w:lang w:val="en-US"/>
        </w:rPr>
        <w:t>9/2-9/6</w:t>
      </w:r>
      <w:r>
        <w:rPr>
          <w:rFonts w:eastAsia="標楷體" w:hint="eastAsia"/>
          <w:rtl w:val="0"/>
          <w:lang w:val="zh-TW" w:eastAsia="zh-TW"/>
        </w:rPr>
        <w:t>）。</w:t>
      </w:r>
    </w:p>
    <w:p>
      <w:pPr>
        <w:pStyle w:val="內文 A"/>
        <w:numPr>
          <w:ilvl w:val="0"/>
          <w:numId w:val="3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單元名稱欄：請填寫課本目錄中與生涯規劃教育相關的單元名稱（每年級至少一個單元）。</w:t>
      </w:r>
    </w:p>
    <w:p>
      <w:pPr>
        <w:pStyle w:val="內文 A"/>
        <w:numPr>
          <w:ilvl w:val="0"/>
          <w:numId w:val="3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本空白格式請至本校首頁「明倫生涯發展教育」資料夾下載，格式可自行調整。</w:t>
      </w:r>
    </w:p>
    <w:p>
      <w:pPr>
        <w:pStyle w:val="內文 A"/>
        <w:numPr>
          <w:ilvl w:val="0"/>
          <w:numId w:val="3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也可至上述資料夾參考前人作品。</w:t>
      </w:r>
    </w:p>
    <w:p>
      <w:pPr>
        <w:pStyle w:val="內文 A"/>
        <w:numPr>
          <w:ilvl w:val="0"/>
          <w:numId w:val="3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請將單元</w:t>
      </w:r>
      <w:r>
        <w:rPr>
          <w:rFonts w:ascii="標楷體" w:hAnsi="標楷體"/>
          <w:rtl w:val="0"/>
          <w:lang w:val="en-US"/>
        </w:rPr>
        <w:t>e-mail</w:t>
      </w:r>
      <w:r>
        <w:rPr>
          <w:rFonts w:eastAsia="標楷體" w:hint="eastAsia"/>
          <w:rtl w:val="0"/>
          <w:lang w:val="zh-TW" w:eastAsia="zh-TW"/>
        </w:rPr>
        <w:t xml:space="preserve">給輔導組長林之婷 </w:t>
      </w:r>
      <w:r>
        <w:rPr>
          <w:rFonts w:ascii="標楷體" w:hAnsi="標楷體"/>
          <w:rtl w:val="0"/>
          <w:lang w:val="en-US"/>
        </w:rPr>
        <w:t>chiting2626@yahoo.com.tw</w:t>
      </w:r>
      <w:r>
        <w:rPr>
          <w:rFonts w:eastAsia="標楷體" w:hint="eastAsia"/>
          <w:rtl w:val="0"/>
          <w:lang w:val="zh-TW" w:eastAsia="zh-TW"/>
        </w:rPr>
        <w:t>彙整。檔名請改成【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生涯發展融入單元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-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領域名稱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-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設計教師姓名</w:t>
      </w:r>
      <w:r>
        <w:rPr>
          <w:rFonts w:eastAsia="標楷體" w:hint="eastAsia"/>
          <w:rtl w:val="0"/>
          <w:lang w:val="zh-TW" w:eastAsia="zh-TW"/>
        </w:rPr>
        <w:t>】。謝謝！</w:t>
      </w:r>
    </w:p>
    <w:p>
      <w:pPr>
        <w:pStyle w:val="內文 A"/>
        <w:rPr>
          <w:b w:val="1"/>
          <w:bCs w:val="1"/>
          <w:sz w:val="36"/>
          <w:szCs w:val="36"/>
        </w:rPr>
      </w:pPr>
    </w:p>
    <w:tbl>
      <w:tblPr>
        <w:tblW w:w="9194" w:type="dxa"/>
        <w:jc w:val="left"/>
        <w:tblInd w:w="39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13"/>
        <w:gridCol w:w="992"/>
        <w:gridCol w:w="992"/>
        <w:gridCol w:w="1276"/>
        <w:gridCol w:w="2560"/>
        <w:gridCol w:w="2561"/>
      </w:tblGrid>
      <w:tr>
        <w:tblPrEx>
          <w:shd w:val="clear" w:color="auto" w:fill="ced7e7"/>
        </w:tblPrEx>
        <w:trPr>
          <w:trHeight w:val="718" w:hRule="atLeast"/>
        </w:trPr>
        <w:tc>
          <w:tcPr>
            <w:tcW w:type="dxa" w:w="813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實施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年級</w:t>
            </w:r>
          </w:p>
        </w:tc>
        <w:tc>
          <w:tcPr>
            <w:tcW w:type="dxa" w:w="99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實施</w:t>
            </w:r>
            <w:r>
              <w:rPr>
                <w:rFonts w:ascii="標楷體" w:cs="標楷體" w:hAnsi="標楷體" w:eastAsia="標楷體"/>
                <w:shd w:val="nil" w:color="auto" w:fill="auto"/>
                <w:lang w:val="en-US"/>
              </w:rPr>
              <w:br w:type="textWrapping"/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日期</w:t>
            </w:r>
          </w:p>
        </w:tc>
        <w:tc>
          <w:tcPr>
            <w:tcW w:type="dxa" w:w="99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教材</w:t>
            </w:r>
            <w:r>
              <w:rPr>
                <w:rFonts w:ascii="標楷體" w:cs="標楷體" w:hAnsi="標楷體" w:eastAsia="標楷體"/>
                <w:shd w:val="nil" w:color="auto" w:fill="auto"/>
                <w:lang w:val="en-US"/>
              </w:rPr>
              <w:br w:type="textWrapping"/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版本</w:t>
            </w:r>
          </w:p>
        </w:tc>
        <w:tc>
          <w:tcPr>
            <w:tcW w:type="dxa" w:w="127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融入單元名稱</w:t>
            </w:r>
          </w:p>
        </w:tc>
        <w:tc>
          <w:tcPr>
            <w:tcW w:type="dxa" w:w="256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line="360" w:lineRule="exact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生涯規劃教育</w:t>
            </w:r>
            <w:r>
              <w:rPr>
                <w:rFonts w:ascii="標楷體" w:cs="標楷體" w:hAnsi="標楷體" w:eastAsia="標楷體"/>
                <w:shd w:val="nil" w:color="auto" w:fill="auto"/>
                <w:lang w:val="en-US"/>
              </w:rPr>
              <w:br w:type="textWrapping"/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學習主題</w:t>
            </w:r>
          </w:p>
        </w:tc>
        <w:tc>
          <w:tcPr>
            <w:tcW w:type="dxa" w:w="256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生涯規劃教育</w:t>
            </w:r>
            <w:r>
              <w:rPr>
                <w:rFonts w:ascii="標楷體" w:cs="標楷體" w:hAnsi="標楷體" w:eastAsia="標楷體"/>
                <w:shd w:val="nil" w:color="auto" w:fill="auto"/>
                <w:lang w:val="en-US"/>
              </w:rPr>
              <w:br w:type="textWrapping"/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實質內涵</w:t>
            </w:r>
          </w:p>
        </w:tc>
      </w:tr>
      <w:tr>
        <w:tblPrEx>
          <w:shd w:val="clear" w:color="auto" w:fill="ced7e7"/>
        </w:tblPrEx>
        <w:trPr>
          <w:trHeight w:val="3620" w:hRule="atLeast"/>
        </w:trPr>
        <w:tc>
          <w:tcPr>
            <w:tcW w:type="dxa" w:w="813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一</w:t>
            </w:r>
          </w:p>
        </w:tc>
        <w:tc>
          <w:tcPr>
            <w:tcW w:type="dxa" w:w="99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ascii="標楷體" w:hAnsi="標楷體"/>
                <w:rtl w:val="0"/>
              </w:rPr>
              <w:t>2/20-2/25</w:t>
            </w:r>
          </w:p>
        </w:tc>
        <w:tc>
          <w:tcPr>
            <w:tcW w:type="dxa" w:w="99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</w:pPr>
            <w:r>
              <w:rPr>
                <w:rFonts w:eastAsia="標楷體" w:hint="eastAsia"/>
                <w:rtl w:val="0"/>
                <w:lang w:val="zh-TW" w:eastAsia="zh-TW"/>
              </w:rPr>
              <w:t>南一</w:t>
            </w:r>
          </w:p>
        </w:tc>
        <w:tc>
          <w:tcPr>
            <w:tcW w:type="dxa" w:w="1276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spacing w:before="100" w:after="100" w:line="240" w:lineRule="atLeast"/>
              <w:jc w:val="both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突變與生物技術</w:t>
            </w:r>
          </w:p>
        </w:tc>
        <w:tc>
          <w:tcPr>
            <w:tcW w:type="dxa" w:w="256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4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生涯教育與自我探索</w:t>
            </w:r>
          </w:p>
          <w:p>
            <w:pPr>
              <w:pStyle w:val="內文 A"/>
              <w:numPr>
                <w:ilvl w:val="0"/>
                <w:numId w:val="4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教育環境探索</w:t>
            </w:r>
          </w:p>
          <w:p>
            <w:pPr>
              <w:pStyle w:val="內文 A"/>
              <w:numPr>
                <w:ilvl w:val="0"/>
                <w:numId w:val="4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生涯決定與行動計畫</w:t>
            </w:r>
          </w:p>
        </w:tc>
        <w:tc>
          <w:tcPr>
            <w:tcW w:type="dxa" w:w="256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5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了解自己的人格特質與價值觀。</w:t>
            </w:r>
          </w:p>
          <w:p>
            <w:pPr>
              <w:pStyle w:val="內文 A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J6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建立對於未來生涯的願景。</w:t>
            </w:r>
          </w:p>
          <w:p>
            <w:pPr>
              <w:pStyle w:val="內文 A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J7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學習蒐集與分析工作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教育環境的資料。</w:t>
            </w:r>
          </w:p>
          <w:p>
            <w:pPr>
              <w:pStyle w:val="內文 A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分析影響個人生涯決定的因素。</w:t>
            </w:r>
          </w:p>
          <w:p>
            <w:pPr>
              <w:pStyle w:val="內文 A"/>
              <w:numPr>
                <w:ilvl w:val="0"/>
                <w:numId w:val="5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發展及評估生涯決定的策略。</w:t>
            </w:r>
          </w:p>
        </w:tc>
      </w:tr>
      <w:tr>
        <w:tblPrEx>
          <w:shd w:val="clear" w:color="auto" w:fill="ced7e7"/>
        </w:tblPrEx>
        <w:trPr>
          <w:trHeight w:val="2106" w:hRule="atLeast"/>
        </w:trPr>
        <w:tc>
          <w:tcPr>
            <w:tcW w:type="dxa" w:w="813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二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ascii="標楷體" w:hAnsi="標楷體"/>
                <w:rtl w:val="0"/>
              </w:rPr>
              <w:t>2/20-2/25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翰林</w:t>
            </w:r>
            <w:r>
              <w:rPr>
                <w:rFonts w:ascii="標楷體" w:cs="標楷體" w:hAnsi="標楷體" w:eastAsia="標楷體"/>
                <w:shd w:val="nil" w:color="auto" w:fill="auto"/>
              </w:rPr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spacing w:before="100" w:after="100" w:line="240" w:lineRule="atLeast"/>
              <w:jc w:val="both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常見的有機化合物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塑膠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6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</w:t>
            </w:r>
          </w:p>
          <w:p>
            <w:pPr>
              <w:pStyle w:val="內文 A"/>
              <w:numPr>
                <w:ilvl w:val="0"/>
                <w:numId w:val="6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環境探索生涯決定與行動計畫</w:t>
            </w:r>
          </w:p>
        </w:tc>
        <w:tc>
          <w:tcPr>
            <w:tcW w:type="dxa" w:w="2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7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spacing w:before="100" w:after="100" w:line="240" w:lineRule="atLeast"/>
              <w:ind w:right="0"/>
              <w:jc w:val="both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培養並涵化道德倫理意義於日常生活。</w:t>
            </w:r>
          </w:p>
        </w:tc>
      </w:tr>
      <w:tr>
        <w:tblPrEx>
          <w:shd w:val="clear" w:color="auto" w:fill="ced7e7"/>
        </w:tblPrEx>
        <w:trPr>
          <w:trHeight w:val="1220" w:hRule="atLeast"/>
        </w:trPr>
        <w:tc>
          <w:tcPr>
            <w:tcW w:type="dxa" w:w="813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三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ascii="標楷體" w:hAnsi="標楷體"/>
                <w:rtl w:val="0"/>
              </w:rPr>
              <w:t>2/20-2/25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spacing w:before="100" w:after="100" w:line="240" w:lineRule="atLeast"/>
              <w:jc w:val="center"/>
            </w:pPr>
            <w:r>
              <w:rPr>
                <w:rFonts w:eastAsia="標楷體" w:hint="eastAsia"/>
                <w:rtl w:val="0"/>
                <w:lang w:val="zh-TW" w:eastAsia="zh-TW"/>
              </w:rPr>
              <w:t>康軒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spacing w:before="100" w:after="100" w:line="240" w:lineRule="atLeast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電池</w:t>
            </w:r>
          </w:p>
        </w:tc>
        <w:tc>
          <w:tcPr>
            <w:tcW w:type="dxa" w:w="2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8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</w:t>
            </w:r>
          </w:p>
          <w:p>
            <w:pPr>
              <w:pStyle w:val="內文 A"/>
              <w:numPr>
                <w:ilvl w:val="0"/>
                <w:numId w:val="8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環境探索生涯決定與行動計畫</w:t>
            </w:r>
          </w:p>
        </w:tc>
        <w:tc>
          <w:tcPr>
            <w:tcW w:type="dxa" w:w="2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9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numPr>
                <w:ilvl w:val="0"/>
                <w:numId w:val="9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J13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培養生涯規劃及執行的能力。</w:t>
            </w:r>
          </w:p>
        </w:tc>
      </w:tr>
    </w:tbl>
    <w:p>
      <w:pPr>
        <w:pStyle w:val="內文 A"/>
        <w:ind w:left="288" w:hanging="288"/>
        <w:rPr>
          <w:b w:val="1"/>
          <w:bCs w:val="1"/>
          <w:sz w:val="36"/>
          <w:szCs w:val="36"/>
        </w:rPr>
      </w:pPr>
    </w:p>
    <w:p>
      <w:pPr>
        <w:pStyle w:val="內文 A"/>
        <w:spacing w:before="100"/>
        <w:rPr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「</w:t>
      </w:r>
      <w:r>
        <w:rPr>
          <w:rFonts w:eastAsia="標楷體" w:hint="eastAsia"/>
          <w:outline w:val="0"/>
          <w:color w:val="000000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學習主題</w:t>
      </w:r>
      <w:r>
        <w:rPr>
          <w:rFonts w:eastAsia="標楷體" w:hint="eastAsia"/>
          <w:rtl w:val="0"/>
          <w:lang w:val="zh-TW" w:eastAsia="zh-TW"/>
        </w:rPr>
        <w:t>」</w:t>
      </w:r>
      <w:r>
        <w:rPr>
          <w:rFonts w:eastAsia="標楷體" w:hint="eastAsia"/>
          <w:outline w:val="0"/>
          <w:color w:val="000000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與</w:t>
      </w:r>
      <w:r>
        <w:rPr>
          <w:rFonts w:eastAsia="標楷體" w:hint="eastAsia"/>
          <w:rtl w:val="0"/>
          <w:lang w:val="zh-TW" w:eastAsia="zh-TW"/>
        </w:rPr>
        <w:t>「</w:t>
      </w:r>
      <w:r>
        <w:rPr>
          <w:rFonts w:eastAsia="標楷體" w:hint="eastAsia"/>
          <w:rtl w:val="0"/>
          <w:lang w:val="zh-TW" w:eastAsia="zh-TW"/>
        </w:rPr>
        <w:t>實質內涵</w:t>
      </w:r>
      <w:r>
        <w:rPr>
          <w:rFonts w:eastAsia="標楷體" w:hint="eastAsia"/>
          <w:rtl w:val="0"/>
          <w:lang w:val="zh-TW" w:eastAsia="zh-TW"/>
        </w:rPr>
        <w:t>」請參考後方附錄</w:t>
      </w:r>
    </w:p>
    <w:p>
      <w:pPr>
        <w:pStyle w:val="內文 A"/>
        <w:numPr>
          <w:ilvl w:val="0"/>
          <w:numId w:val="11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十二年國教課程綱要生涯規劃教育議題學習主題與實質內涵</w:t>
      </w: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3"/>
        <w:gridCol w:w="6237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議題學習主題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議題實質內涵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: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國民中學階段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生涯規劃教育之基本概念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了解生涯規劃的意義與功能。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具備生涯規劃的知識與概念。</w:t>
            </w:r>
          </w:p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生涯教育與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自我探索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J3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覺察自己的能力與興趣。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了解自己的人格特質與價值觀。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J5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探索性別與生涯規劃的關係。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J6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建立對於未來生涯的願景。</w:t>
            </w:r>
          </w:p>
        </w:tc>
      </w:tr>
      <w:tr>
        <w:tblPrEx>
          <w:shd w:val="clear" w:color="auto" w:fill="ced7e7"/>
        </w:tblPrEx>
        <w:trPr>
          <w:trHeight w:val="1087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環境探索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J7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學習蒐集與分析工作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教育環境的資料。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J8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教育環境的類型與現況。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J10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職業倫理對工作環境發展的重要性。</w:t>
            </w:r>
          </w:p>
        </w:tc>
      </w:tr>
      <w:tr>
        <w:tblPrEx>
          <w:shd w:val="clear" w:color="auto" w:fill="ced7e7"/>
        </w:tblPrEx>
        <w:trPr>
          <w:trHeight w:val="1523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生涯決定與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行動計畫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分析影響個人生涯決定的因素。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發展及評估生涯決定的策略。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J13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培養生涯規劃及執行的能力。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培養並涵化道德倫理意義於日常生活。</w:t>
            </w:r>
          </w:p>
        </w:tc>
      </w:tr>
    </w:tbl>
    <w:p>
      <w:pPr>
        <w:pStyle w:val="內文 A"/>
        <w:numPr>
          <w:ilvl w:val="0"/>
          <w:numId w:val="11"/>
        </w:numPr>
        <w:rPr>
          <w:lang w:val="zh-TW" w:eastAsia="zh-TW"/>
        </w:rPr>
      </w:pPr>
    </w:p>
    <w:p>
      <w:pPr>
        <w:pStyle w:val="內文 A"/>
        <w:ind w:left="360" w:firstLine="0"/>
      </w:pPr>
      <w:r>
        <w:rPr>
          <w:rFonts w:ascii="標楷體" w:cs="標楷體" w:hAnsi="標楷體" w:eastAsia="標楷體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  <w:font w:name="標楷體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輸入樣式 1"/>
  </w:abstractNum>
  <w:abstractNum w:abstractNumId="1">
    <w:multiLevelType w:val="hybridMultilevel"/>
    <w:styleLink w:val="已輸入樣式 1"/>
    <w:lvl w:ilvl="0">
      <w:start w:val="1"/>
      <w:numFmt w:val="bullet"/>
      <w:suff w:val="tab"/>
      <w:lvlText w:val="＊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left" w:pos="360"/>
        </w:tabs>
        <w:ind w:left="95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left" w:pos="360"/>
        </w:tabs>
        <w:ind w:left="143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360"/>
        </w:tabs>
        <w:ind w:left="191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left" w:pos="360"/>
        </w:tabs>
        <w:ind w:left="239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left" w:pos="360"/>
        </w:tabs>
        <w:ind w:left="287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360"/>
        </w:tabs>
        <w:ind w:left="335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left" w:pos="360"/>
        </w:tabs>
        <w:ind w:left="383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left" w:pos="360"/>
        </w:tabs>
        <w:ind w:left="4317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已輸入樣式 5"/>
  </w:abstractNum>
  <w:abstractNum w:abstractNumId="9">
    <w:multiLevelType w:val="hybridMultilevel"/>
    <w:styleLink w:val="已輸入樣式 5"/>
    <w:lvl w:ilvl="0">
      <w:start w:val="1"/>
      <w:numFmt w:val="bullet"/>
      <w:suff w:val="tab"/>
      <w:lvlText w:val="＊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left" w:pos="360"/>
        </w:tabs>
        <w:ind w:left="9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left" w:pos="360"/>
        </w:tabs>
        <w:ind w:left="14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360"/>
        </w:tabs>
        <w:ind w:left="19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left" w:pos="360"/>
        </w:tabs>
        <w:ind w:left="240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left" w:pos="360"/>
        </w:tabs>
        <w:ind w:left="28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360"/>
        </w:tabs>
        <w:ind w:left="33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left" w:pos="360"/>
        </w:tabs>
        <w:ind w:left="38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left" w:pos="360"/>
        </w:tabs>
        <w:ind w:left="43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＊"/>
        <w:lvlJc w:val="left"/>
        <w:pPr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96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144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192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240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288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336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384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432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8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TC Regular" w:cs="Arial Unicode MS" w:hAnsi="PingFang T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內文 A">
    <w:name w:val="內文 A"/>
    <w:next w:val="內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已輸入樣式 1">
    <w:name w:val="已輸入樣式 1"/>
    <w:pPr>
      <w:numPr>
        <w:numId w:val="1"/>
      </w:numPr>
    </w:pPr>
  </w:style>
  <w:style w:type="numbering" w:styleId="已輸入樣式 5">
    <w:name w:val="已輸入樣式 5"/>
    <w:pPr>
      <w:numPr>
        <w:numId w:val="1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